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Managed Enrollment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The goal of the Strategic Enrollment Management committee is to identify and help develop the strategies which will enhance the quality and diversity of the student body, student college experience, student satisfaction, and, as a byproduct, improve student retention and graduation rates. This will be accomplished by addressing student success issues, identifying the appropriate mix of program offerings accompanied by a strategic comprehensive recruitment plan, and implementing an overall marketing plan. It will also recommend changes where appropriate to ensure that the administrative structure supports the direction of the current and future academic programming and enrollment management configuration of the college.</w:t>
      </w:r>
    </w:p>
    <w:p w:rsidR="00EB4C05" w:rsidRDefault="00EB4C05" w:rsidP="00EB4C05">
      <w:pPr>
        <w:widowControl w:val="0"/>
        <w:autoSpaceDE w:val="0"/>
        <w:autoSpaceDN w:val="0"/>
        <w:adjustRightInd w:val="0"/>
        <w:spacing w:after="0" w:line="280" w:lineRule="atLeast"/>
        <w:rPr>
          <w:rFonts w:ascii="Verdana" w:hAnsi="Verdana" w:cs="Verdana"/>
        </w:rPr>
      </w:pPr>
      <w:r>
        <w:rPr>
          <w:rFonts w:ascii="Verdana" w:hAnsi="Verdana" w:cs="Verdana"/>
        </w:rPr>
        <w:t xml:space="preserve">The committee utilized a strategic enrollment management (SEM) planning model purported by Dr. Jim Black of SEMWorks.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This SEM Planning model is based on the idea of looking at the environmental factors influencing the state of higher education and how those factors intersect with the current realities found on a college campus. It is a thorough analysis of these factors, viewed through ‘strategic opportunity filters’ that then leads to the development of the strategy portion of the plan. The actions which accompany these strategies are then put into place with assessment measures, as well as a plan to analyze the progress of the plan. It is this loop which keeps the plan alive and relevant.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The committee reviewed areas on which to focus that were revealed through a situational analysis and environmental scan, including: where, how and who we recruit; academic programming which attracts and supports demographic profile; and trends in financial aid counseling and endowment/scholarship availability.</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The current campus realities as they relate to enrollment management were then explored. The areas as they relate specifically to admissions statistics, student diversity mix, retention and graduation rates were also investigated. An analysis based on student survey data revealed a great deal of information, specifically data points as they relate to retention and transfer out rates. This information, when compared with our standings for retention and graduation rates among a number of data points (see figure 2) helped us to shape our portions of our desired outcomes, as well.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Once all of the relevant data was reviewed, the committee developed the following desired outcomes.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1.</w:t>
      </w:r>
      <w:r>
        <w:rPr>
          <w:rFonts w:ascii="Times New Roman" w:hAnsi="Times New Roman" w:cs="Times New Roman"/>
          <w:sz w:val="18"/>
          <w:szCs w:val="18"/>
        </w:rPr>
        <w:t xml:space="preserve">      </w:t>
      </w:r>
      <w:r>
        <w:rPr>
          <w:rFonts w:ascii="Verdana" w:hAnsi="Verdana" w:cs="Verdana"/>
        </w:rPr>
        <w:t>The College will offer an appropriate mix of programs.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2.</w:t>
      </w:r>
      <w:r>
        <w:rPr>
          <w:rFonts w:ascii="Times New Roman" w:hAnsi="Times New Roman" w:cs="Times New Roman"/>
          <w:sz w:val="18"/>
          <w:szCs w:val="18"/>
        </w:rPr>
        <w:t xml:space="preserve">      </w:t>
      </w:r>
      <w:r>
        <w:rPr>
          <w:rFonts w:ascii="Verdana" w:hAnsi="Verdana" w:cs="Verdana"/>
        </w:rPr>
        <w:t>The College will utilize a comprehensive recruitment plan to maximize its recruitment efforts.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3.</w:t>
      </w:r>
      <w:r>
        <w:rPr>
          <w:rFonts w:ascii="Times New Roman" w:hAnsi="Times New Roman" w:cs="Times New Roman"/>
          <w:sz w:val="18"/>
          <w:szCs w:val="18"/>
        </w:rPr>
        <w:t xml:space="preserve">      </w:t>
      </w:r>
      <w:r>
        <w:rPr>
          <w:rFonts w:ascii="Verdana" w:hAnsi="Verdana" w:cs="Verdana"/>
        </w:rPr>
        <w:t>A comprehensive marketing plan will be developed and utilized to maximize the college's visibility to all stakeholders and assist with recruitment efforts.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4.</w:t>
      </w:r>
      <w:r>
        <w:rPr>
          <w:rFonts w:ascii="Times New Roman" w:hAnsi="Times New Roman" w:cs="Times New Roman"/>
          <w:sz w:val="18"/>
          <w:szCs w:val="18"/>
        </w:rPr>
        <w:t xml:space="preserve">      </w:t>
      </w:r>
      <w:r>
        <w:rPr>
          <w:rFonts w:ascii="Verdana" w:hAnsi="Verdana" w:cs="Verdana"/>
        </w:rPr>
        <w:t>Obstacles to student success will be addressed.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5.</w:t>
      </w:r>
      <w:r>
        <w:rPr>
          <w:rFonts w:ascii="Times New Roman" w:hAnsi="Times New Roman" w:cs="Times New Roman"/>
          <w:sz w:val="18"/>
          <w:szCs w:val="18"/>
        </w:rPr>
        <w:t xml:space="preserve">      </w:t>
      </w:r>
      <w:r>
        <w:rPr>
          <w:rFonts w:ascii="Verdana" w:hAnsi="Verdana" w:cs="Verdana"/>
        </w:rPr>
        <w:t>The academic services structure supports the enrollment and retention needs of the college.</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Itemization of Recommended Actions and Strategies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The following action items are being proposed to meet the outcomes. These will continue to be further developed and refined.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1)</w:t>
      </w:r>
      <w:r>
        <w:rPr>
          <w:rFonts w:ascii="Times New Roman" w:hAnsi="Times New Roman" w:cs="Times New Roman"/>
          <w:sz w:val="18"/>
          <w:szCs w:val="18"/>
        </w:rPr>
        <w:t xml:space="preserve">      </w:t>
      </w:r>
      <w:r>
        <w:rPr>
          <w:rFonts w:ascii="Verdana" w:hAnsi="Verdana" w:cs="Verdana"/>
          <w:b/>
          <w:bCs/>
        </w:rPr>
        <w:t> The college will offer an appropriate mix of programs.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a)</w:t>
      </w:r>
      <w:r>
        <w:rPr>
          <w:rFonts w:ascii="Times New Roman" w:hAnsi="Times New Roman" w:cs="Times New Roman"/>
          <w:sz w:val="18"/>
          <w:szCs w:val="18"/>
        </w:rPr>
        <w:t xml:space="preserve">      </w:t>
      </w:r>
      <w:r>
        <w:rPr>
          <w:rFonts w:ascii="Verdana" w:hAnsi="Verdana" w:cs="Verdana"/>
        </w:rPr>
        <w:t>Program which are no longer relevant will be removed from the academic offerings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w:t>
      </w:r>
      <w:r>
        <w:rPr>
          <w:rFonts w:ascii="Times New Roman" w:hAnsi="Times New Roman" w:cs="Times New Roman"/>
          <w:sz w:val="18"/>
          <w:szCs w:val="18"/>
        </w:rPr>
        <w:t xml:space="preserve">      </w:t>
      </w:r>
      <w:r>
        <w:rPr>
          <w:rFonts w:ascii="Verdana" w:hAnsi="Verdana" w:cs="Verdana"/>
        </w:rPr>
        <w:t>New programs will be carefully identified to ensure that they align with market demand, student demand and college mission.</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c)</w:t>
      </w:r>
      <w:r>
        <w:rPr>
          <w:rFonts w:ascii="Times New Roman" w:hAnsi="Times New Roman" w:cs="Times New Roman"/>
          <w:sz w:val="18"/>
          <w:szCs w:val="18"/>
        </w:rPr>
        <w:t xml:space="preserve">      </w:t>
      </w:r>
      <w:r>
        <w:rPr>
          <w:rFonts w:ascii="Verdana" w:hAnsi="Verdana" w:cs="Verdana"/>
        </w:rPr>
        <w:t>Where appropriate, existing programs will be renamed and reconfigured  with appropriate enrollment caps determined and instituted.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w:t>
      </w:r>
      <w:r>
        <w:rPr>
          <w:rFonts w:ascii="Times New Roman" w:hAnsi="Times New Roman" w:cs="Times New Roman"/>
          <w:sz w:val="18"/>
          <w:szCs w:val="18"/>
        </w:rPr>
        <w:t xml:space="preserve">     </w:t>
      </w:r>
      <w:r>
        <w:rPr>
          <w:rFonts w:ascii="Verdana" w:hAnsi="Verdana" w:cs="Verdana"/>
        </w:rPr>
        <w:t>Outcome 1 – The college will offer an appropriate mix of programs.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e)</w:t>
      </w:r>
      <w:r>
        <w:rPr>
          <w:rFonts w:ascii="Times New Roman" w:hAnsi="Times New Roman" w:cs="Times New Roman"/>
          <w:sz w:val="18"/>
          <w:szCs w:val="18"/>
        </w:rPr>
        <w:t xml:space="preserve">      </w:t>
      </w:r>
      <w:r>
        <w:rPr>
          <w:rFonts w:ascii="Verdana" w:hAnsi="Verdana" w:cs="Verdana"/>
        </w:rPr>
        <w:t>More visibility of current MOU and bachelor offerings in general.</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f)</w:t>
      </w:r>
      <w:r>
        <w:rPr>
          <w:rFonts w:ascii="Times New Roman" w:hAnsi="Times New Roman" w:cs="Times New Roman"/>
          <w:sz w:val="18"/>
          <w:szCs w:val="18"/>
        </w:rPr>
        <w:t xml:space="preserve">       </w:t>
      </w:r>
      <w:r>
        <w:rPr>
          <w:rFonts w:ascii="Verdana" w:hAnsi="Verdana" w:cs="Verdana"/>
        </w:rPr>
        <w:t>Lobby SUNY for more flexibility with program offerings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g)</w:t>
      </w:r>
      <w:r>
        <w:rPr>
          <w:rFonts w:ascii="Times New Roman" w:hAnsi="Times New Roman" w:cs="Times New Roman"/>
          <w:sz w:val="18"/>
          <w:szCs w:val="18"/>
        </w:rPr>
        <w:t xml:space="preserve">      </w:t>
      </w:r>
      <w:r>
        <w:rPr>
          <w:rFonts w:ascii="Verdana" w:hAnsi="Verdana" w:cs="Verdana"/>
        </w:rPr>
        <w:t>Maintain max headcount, but work composition.</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h)</w:t>
      </w:r>
      <w:r>
        <w:rPr>
          <w:rFonts w:ascii="Times New Roman" w:hAnsi="Times New Roman" w:cs="Times New Roman"/>
          <w:sz w:val="18"/>
          <w:szCs w:val="18"/>
        </w:rPr>
        <w:t xml:space="preserve">      </w:t>
      </w:r>
      <w:r>
        <w:rPr>
          <w:rFonts w:ascii="Verdana" w:hAnsi="Verdana" w:cs="Verdana"/>
        </w:rPr>
        <w:t>Realign associate degrees where possible to transition seamlessly into bachelor programs offered at SUNY Cobleskill.</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2)</w:t>
      </w:r>
      <w:r>
        <w:rPr>
          <w:rFonts w:ascii="Times New Roman" w:hAnsi="Times New Roman" w:cs="Times New Roman"/>
          <w:sz w:val="18"/>
          <w:szCs w:val="18"/>
        </w:rPr>
        <w:t xml:space="preserve">      </w:t>
      </w:r>
      <w:r>
        <w:rPr>
          <w:rFonts w:ascii="Verdana" w:hAnsi="Verdana" w:cs="Verdana"/>
          <w:b/>
          <w:bCs/>
        </w:rPr>
        <w:t> The College will utilize a comprehensive recruitment plan to maximize its recruitment efforts.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a)</w:t>
      </w:r>
      <w:r>
        <w:rPr>
          <w:rFonts w:ascii="Times New Roman" w:hAnsi="Times New Roman" w:cs="Times New Roman"/>
          <w:sz w:val="18"/>
          <w:szCs w:val="18"/>
        </w:rPr>
        <w:t xml:space="preserve">      </w:t>
      </w:r>
      <w:r>
        <w:rPr>
          <w:rFonts w:ascii="Verdana" w:hAnsi="Verdana" w:cs="Verdana"/>
        </w:rPr>
        <w:t>Increase endowment/scholarship opportunities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w:t>
      </w:r>
      <w:r>
        <w:rPr>
          <w:rFonts w:ascii="Times New Roman" w:hAnsi="Times New Roman" w:cs="Times New Roman"/>
          <w:sz w:val="18"/>
          <w:szCs w:val="18"/>
        </w:rPr>
        <w:t xml:space="preserve">      </w:t>
      </w:r>
      <w:r>
        <w:rPr>
          <w:rFonts w:ascii="Verdana" w:hAnsi="Verdana" w:cs="Verdana"/>
        </w:rPr>
        <w:t>Increase/shift applicant pool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c)</w:t>
      </w:r>
      <w:r>
        <w:rPr>
          <w:rFonts w:ascii="Times New Roman" w:hAnsi="Times New Roman" w:cs="Times New Roman"/>
          <w:sz w:val="18"/>
          <w:szCs w:val="18"/>
        </w:rPr>
        <w:t xml:space="preserve">      </w:t>
      </w:r>
      <w:r>
        <w:rPr>
          <w:rFonts w:ascii="Verdana" w:hAnsi="Verdana" w:cs="Verdana"/>
        </w:rPr>
        <w:t>Determine appropriate selectivity threshold.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w:t>
      </w:r>
      <w:r>
        <w:rPr>
          <w:rFonts w:ascii="Times New Roman" w:hAnsi="Times New Roman" w:cs="Times New Roman"/>
          <w:sz w:val="18"/>
          <w:szCs w:val="18"/>
        </w:rPr>
        <w:t xml:space="preserve">     </w:t>
      </w:r>
      <w:r>
        <w:rPr>
          <w:rFonts w:ascii="Verdana" w:hAnsi="Verdana" w:cs="Verdana"/>
        </w:rPr>
        <w:t>Provide additional opportunities for faculty to participate in student recruitment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e)</w:t>
      </w:r>
      <w:r>
        <w:rPr>
          <w:rFonts w:ascii="Times New Roman" w:hAnsi="Times New Roman" w:cs="Times New Roman"/>
          <w:sz w:val="18"/>
          <w:szCs w:val="18"/>
        </w:rPr>
        <w:t xml:space="preserve">      </w:t>
      </w:r>
      <w:r>
        <w:rPr>
          <w:rFonts w:ascii="Verdana" w:hAnsi="Verdana" w:cs="Verdana"/>
        </w:rPr>
        <w:t>Increase emphasis on guidance counselor ‘recruitment’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f)</w:t>
      </w:r>
      <w:r>
        <w:rPr>
          <w:rFonts w:ascii="Times New Roman" w:hAnsi="Times New Roman" w:cs="Times New Roman"/>
          <w:sz w:val="18"/>
          <w:szCs w:val="18"/>
        </w:rPr>
        <w:t xml:space="preserve">       </w:t>
      </w:r>
      <w:r>
        <w:rPr>
          <w:rFonts w:ascii="Verdana" w:hAnsi="Verdana" w:cs="Verdana"/>
        </w:rPr>
        <w:t>Increase regional recruitment activities with alumni, faculty, student affairs involvement.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g)</w:t>
      </w:r>
      <w:r>
        <w:rPr>
          <w:rFonts w:ascii="Times New Roman" w:hAnsi="Times New Roman" w:cs="Times New Roman"/>
          <w:sz w:val="18"/>
          <w:szCs w:val="18"/>
        </w:rPr>
        <w:t xml:space="preserve">      </w:t>
      </w:r>
      <w:r>
        <w:rPr>
          <w:rFonts w:ascii="Verdana" w:hAnsi="Verdana" w:cs="Verdana"/>
        </w:rPr>
        <w:t>The College will utilize a comprehensive recruitment plan to maximize its recruitment efforts.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h)</w:t>
      </w:r>
      <w:r>
        <w:rPr>
          <w:rFonts w:ascii="Times New Roman" w:hAnsi="Times New Roman" w:cs="Times New Roman"/>
          <w:sz w:val="18"/>
          <w:szCs w:val="18"/>
        </w:rPr>
        <w:t xml:space="preserve">      </w:t>
      </w:r>
      <w:r>
        <w:rPr>
          <w:rFonts w:ascii="Verdana" w:hAnsi="Verdana" w:cs="Verdana"/>
        </w:rPr>
        <w:t>Involve/increase parental involvement in visitation/orientation programs (parent workshops/tours)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i)</w:t>
      </w:r>
      <w:r>
        <w:rPr>
          <w:rFonts w:ascii="Times New Roman" w:hAnsi="Times New Roman" w:cs="Times New Roman"/>
          <w:sz w:val="18"/>
          <w:szCs w:val="18"/>
        </w:rPr>
        <w:t xml:space="preserve">        </w:t>
      </w:r>
      <w:r>
        <w:rPr>
          <w:rFonts w:ascii="Verdana" w:hAnsi="Verdana" w:cs="Verdana"/>
        </w:rPr>
        <w:t>Tap into existing relevant achievement programs in the secondary schools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j)</w:t>
      </w:r>
      <w:r>
        <w:rPr>
          <w:rFonts w:ascii="Times New Roman" w:hAnsi="Times New Roman" w:cs="Times New Roman"/>
          <w:sz w:val="18"/>
          <w:szCs w:val="18"/>
        </w:rPr>
        <w:t xml:space="preserve">        </w:t>
      </w:r>
      <w:r>
        <w:rPr>
          <w:rFonts w:ascii="Verdana" w:hAnsi="Verdana" w:cs="Verdana"/>
        </w:rPr>
        <w:t>Utilize formal athletic recruiters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k)</w:t>
      </w:r>
      <w:r>
        <w:rPr>
          <w:rFonts w:ascii="Times New Roman" w:hAnsi="Times New Roman" w:cs="Times New Roman"/>
          <w:sz w:val="18"/>
          <w:szCs w:val="18"/>
        </w:rPr>
        <w:t xml:space="preserve">      </w:t>
      </w:r>
      <w:r>
        <w:rPr>
          <w:rFonts w:ascii="Verdana" w:hAnsi="Verdana" w:cs="Verdana"/>
        </w:rPr>
        <w:t>Enhance the data management to better inform the activities in the recruitment plan</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l)</w:t>
      </w:r>
      <w:r>
        <w:rPr>
          <w:rFonts w:ascii="Times New Roman" w:hAnsi="Times New Roman" w:cs="Times New Roman"/>
          <w:sz w:val="18"/>
          <w:szCs w:val="18"/>
        </w:rPr>
        <w:t xml:space="preserve">        </w:t>
      </w:r>
      <w:r>
        <w:rPr>
          <w:rFonts w:ascii="Verdana" w:hAnsi="Verdana" w:cs="Verdana"/>
        </w:rPr>
        <w:t>Increase utilization of web page and other technology in the recruitment process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m)</w:t>
      </w:r>
      <w:r>
        <w:rPr>
          <w:rFonts w:ascii="Times New Roman" w:hAnsi="Times New Roman" w:cs="Times New Roman"/>
          <w:sz w:val="18"/>
          <w:szCs w:val="18"/>
        </w:rPr>
        <w:t xml:space="preserve">    </w:t>
      </w:r>
      <w:r>
        <w:rPr>
          <w:rFonts w:ascii="Verdana" w:hAnsi="Verdana" w:cs="Verdana"/>
        </w:rPr>
        <w:t>Increase summer programming geared towards secondary schools.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3)</w:t>
      </w:r>
      <w:r>
        <w:rPr>
          <w:rFonts w:ascii="Times New Roman" w:hAnsi="Times New Roman" w:cs="Times New Roman"/>
          <w:sz w:val="18"/>
          <w:szCs w:val="18"/>
        </w:rPr>
        <w:t xml:space="preserve">      </w:t>
      </w:r>
      <w:r>
        <w:rPr>
          <w:rFonts w:ascii="Verdana" w:hAnsi="Verdana" w:cs="Verdana"/>
          <w:b/>
          <w:bCs/>
        </w:rPr>
        <w:t>A comprehensive marketing plan will be developed and utilized to maximize the college's visibility to all stakeholders and assist with recruitment efforts.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a)</w:t>
      </w:r>
      <w:r>
        <w:rPr>
          <w:rFonts w:ascii="Times New Roman" w:hAnsi="Times New Roman" w:cs="Times New Roman"/>
          <w:sz w:val="18"/>
          <w:szCs w:val="18"/>
        </w:rPr>
        <w:t xml:space="preserve">      </w:t>
      </w:r>
      <w:r>
        <w:rPr>
          <w:rFonts w:ascii="Verdana" w:hAnsi="Verdana" w:cs="Verdana"/>
        </w:rPr>
        <w:t>Targeted marketing to grow bachelors level LAS &amp; Business programs, while maintaining the Ag population will be implemented.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w:t>
      </w:r>
      <w:r>
        <w:rPr>
          <w:rFonts w:ascii="Times New Roman" w:hAnsi="Times New Roman" w:cs="Times New Roman"/>
          <w:sz w:val="18"/>
          <w:szCs w:val="18"/>
        </w:rPr>
        <w:t xml:space="preserve">      </w:t>
      </w:r>
      <w:r>
        <w:rPr>
          <w:rFonts w:ascii="Verdana" w:hAnsi="Verdana" w:cs="Verdana"/>
        </w:rPr>
        <w:t>Increase the focus on promoting the experience-based aspect of our educational offerings (internship, etc.)</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c)</w:t>
      </w:r>
      <w:r>
        <w:rPr>
          <w:rFonts w:ascii="Times New Roman" w:hAnsi="Times New Roman" w:cs="Times New Roman"/>
          <w:sz w:val="18"/>
          <w:szCs w:val="18"/>
        </w:rPr>
        <w:t xml:space="preserve">      </w:t>
      </w:r>
      <w:r>
        <w:rPr>
          <w:rFonts w:ascii="Verdana" w:hAnsi="Verdana" w:cs="Verdana"/>
        </w:rPr>
        <w:t>Increase the focus on promoting the sustainable aspect of our programs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w:t>
      </w:r>
      <w:r>
        <w:rPr>
          <w:rFonts w:ascii="Times New Roman" w:hAnsi="Times New Roman" w:cs="Times New Roman"/>
          <w:sz w:val="18"/>
          <w:szCs w:val="18"/>
        </w:rPr>
        <w:t xml:space="preserve">     </w:t>
      </w:r>
      <w:r>
        <w:rPr>
          <w:rFonts w:ascii="Verdana" w:hAnsi="Verdana" w:cs="Verdana"/>
        </w:rPr>
        <w:t>Emphasize the nurturing, safe, secure, rural environment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e)</w:t>
      </w:r>
      <w:r>
        <w:rPr>
          <w:rFonts w:ascii="Times New Roman" w:hAnsi="Times New Roman" w:cs="Times New Roman"/>
          <w:sz w:val="18"/>
          <w:szCs w:val="18"/>
        </w:rPr>
        <w:t xml:space="preserve">      </w:t>
      </w:r>
      <w:r>
        <w:rPr>
          <w:rFonts w:ascii="Verdana" w:hAnsi="Verdana" w:cs="Verdana"/>
        </w:rPr>
        <w:t>Outcome 3 – A comprehensive marketing plan is developed and utilized….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f)</w:t>
      </w:r>
      <w:r>
        <w:rPr>
          <w:rFonts w:ascii="Times New Roman" w:hAnsi="Times New Roman" w:cs="Times New Roman"/>
          <w:sz w:val="18"/>
          <w:szCs w:val="18"/>
        </w:rPr>
        <w:t xml:space="preserve">       </w:t>
      </w:r>
      <w:r>
        <w:rPr>
          <w:rFonts w:ascii="Verdana" w:hAnsi="Verdana" w:cs="Verdana"/>
        </w:rPr>
        <w:t>Increase internal marketing amongst the faculty/staff regarding success of faculty, staff and students, as well as changes in program offerings.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g)</w:t>
      </w:r>
      <w:r>
        <w:rPr>
          <w:rFonts w:ascii="Times New Roman" w:hAnsi="Times New Roman" w:cs="Times New Roman"/>
          <w:sz w:val="18"/>
          <w:szCs w:val="18"/>
        </w:rPr>
        <w:t xml:space="preserve">      </w:t>
      </w:r>
      <w:r>
        <w:rPr>
          <w:rFonts w:ascii="Verdana" w:hAnsi="Verdana" w:cs="Verdana"/>
        </w:rPr>
        <w:t>Develop and nurture a parent association.</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h)</w:t>
      </w:r>
      <w:r>
        <w:rPr>
          <w:rFonts w:ascii="Times New Roman" w:hAnsi="Times New Roman" w:cs="Times New Roman"/>
          <w:sz w:val="18"/>
          <w:szCs w:val="18"/>
        </w:rPr>
        <w:t xml:space="preserve">      </w:t>
      </w:r>
      <w:r>
        <w:rPr>
          <w:rFonts w:ascii="Verdana" w:hAnsi="Verdana" w:cs="Verdana"/>
        </w:rPr>
        <w:t>Complete assessment of web pages and make suggestions for improvement where needed.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4)</w:t>
      </w:r>
      <w:r>
        <w:rPr>
          <w:rFonts w:ascii="Times New Roman" w:hAnsi="Times New Roman" w:cs="Times New Roman"/>
          <w:sz w:val="18"/>
          <w:szCs w:val="18"/>
        </w:rPr>
        <w:t xml:space="preserve">      </w:t>
      </w:r>
      <w:r>
        <w:rPr>
          <w:rFonts w:ascii="Verdana" w:hAnsi="Verdana" w:cs="Verdana"/>
          <w:b/>
          <w:bCs/>
        </w:rPr>
        <w:t>Obstacles to student success will be addressed.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a)</w:t>
      </w:r>
      <w:r>
        <w:rPr>
          <w:rFonts w:ascii="Times New Roman" w:hAnsi="Times New Roman" w:cs="Times New Roman"/>
          <w:sz w:val="18"/>
          <w:szCs w:val="18"/>
        </w:rPr>
        <w:t xml:space="preserve">      </w:t>
      </w:r>
      <w:r>
        <w:rPr>
          <w:rFonts w:ascii="Verdana" w:hAnsi="Verdana" w:cs="Verdana"/>
        </w:rPr>
        <w:t>Increase academic rigor of programs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w:t>
      </w:r>
      <w:r>
        <w:rPr>
          <w:rFonts w:ascii="Times New Roman" w:hAnsi="Times New Roman" w:cs="Times New Roman"/>
          <w:sz w:val="18"/>
          <w:szCs w:val="18"/>
        </w:rPr>
        <w:t xml:space="preserve">      </w:t>
      </w:r>
      <w:r>
        <w:rPr>
          <w:rFonts w:ascii="Verdana" w:hAnsi="Verdana" w:cs="Verdana"/>
        </w:rPr>
        <w:t>Implementation of a First Year Experience</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c)</w:t>
      </w:r>
      <w:r>
        <w:rPr>
          <w:rFonts w:ascii="Times New Roman" w:hAnsi="Times New Roman" w:cs="Times New Roman"/>
          <w:sz w:val="18"/>
          <w:szCs w:val="18"/>
        </w:rPr>
        <w:t xml:space="preserve">      </w:t>
      </w:r>
      <w:r>
        <w:rPr>
          <w:rFonts w:ascii="Verdana" w:hAnsi="Verdana" w:cs="Verdana"/>
        </w:rPr>
        <w:t> Development of a Four Year Experience</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w:t>
      </w:r>
      <w:r>
        <w:rPr>
          <w:rFonts w:ascii="Times New Roman" w:hAnsi="Times New Roman" w:cs="Times New Roman"/>
          <w:sz w:val="18"/>
          <w:szCs w:val="18"/>
        </w:rPr>
        <w:t xml:space="preserve">     </w:t>
      </w:r>
      <w:r>
        <w:rPr>
          <w:rFonts w:ascii="Verdana" w:hAnsi="Verdana" w:cs="Verdana"/>
        </w:rPr>
        <w:t>Designation of an Upper Class residence hall</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e)</w:t>
      </w:r>
      <w:r>
        <w:rPr>
          <w:rFonts w:ascii="Times New Roman" w:hAnsi="Times New Roman" w:cs="Times New Roman"/>
          <w:sz w:val="18"/>
          <w:szCs w:val="18"/>
        </w:rPr>
        <w:t xml:space="preserve">      </w:t>
      </w:r>
      <w:r>
        <w:rPr>
          <w:rFonts w:ascii="Verdana" w:hAnsi="Verdana" w:cs="Verdana"/>
        </w:rPr>
        <w:t>bachelor level honor society</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f)</w:t>
      </w:r>
      <w:r>
        <w:rPr>
          <w:rFonts w:ascii="Times New Roman" w:hAnsi="Times New Roman" w:cs="Times New Roman"/>
          <w:sz w:val="18"/>
          <w:szCs w:val="18"/>
        </w:rPr>
        <w:t xml:space="preserve">       </w:t>
      </w:r>
      <w:r>
        <w:rPr>
          <w:rFonts w:ascii="Verdana" w:hAnsi="Verdana" w:cs="Verdana"/>
        </w:rPr>
        <w:t>Increase leadership development experiences (experiential learning).</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g)</w:t>
      </w:r>
      <w:r>
        <w:rPr>
          <w:rFonts w:ascii="Times New Roman" w:hAnsi="Times New Roman" w:cs="Times New Roman"/>
          <w:sz w:val="18"/>
          <w:szCs w:val="18"/>
        </w:rPr>
        <w:t xml:space="preserve">      </w:t>
      </w:r>
      <w:r>
        <w:rPr>
          <w:rFonts w:ascii="Verdana" w:hAnsi="Verdana" w:cs="Verdana"/>
        </w:rPr>
        <w:t>Ensure alignment of academic/other policies with advisement</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b/>
          <w:bCs/>
        </w:rPr>
        <w:t>5)</w:t>
      </w:r>
      <w:r>
        <w:rPr>
          <w:rFonts w:ascii="Times New Roman" w:hAnsi="Times New Roman" w:cs="Times New Roman"/>
          <w:sz w:val="18"/>
          <w:szCs w:val="18"/>
        </w:rPr>
        <w:t xml:space="preserve">      </w:t>
      </w:r>
      <w:r>
        <w:rPr>
          <w:rFonts w:ascii="Verdana" w:hAnsi="Verdana" w:cs="Verdana"/>
          <w:b/>
          <w:bCs/>
        </w:rPr>
        <w:t>Outcome 5 -  The academic services structure supports the enrollment and retention needs of the college.</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a)</w:t>
      </w:r>
      <w:r>
        <w:rPr>
          <w:rFonts w:ascii="Times New Roman" w:hAnsi="Times New Roman" w:cs="Times New Roman"/>
          <w:sz w:val="18"/>
          <w:szCs w:val="18"/>
        </w:rPr>
        <w:t xml:space="preserve">      </w:t>
      </w:r>
      <w:r>
        <w:rPr>
          <w:rFonts w:ascii="Verdana" w:hAnsi="Verdana" w:cs="Verdana"/>
        </w:rPr>
        <w:t>‘One stop shopping’ for academic service areas will be explored.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w:t>
      </w:r>
      <w:r>
        <w:rPr>
          <w:rFonts w:ascii="Times New Roman" w:hAnsi="Times New Roman" w:cs="Times New Roman"/>
          <w:sz w:val="18"/>
          <w:szCs w:val="18"/>
        </w:rPr>
        <w:t xml:space="preserve">      </w:t>
      </w:r>
      <w:r>
        <w:rPr>
          <w:rFonts w:ascii="Verdana" w:hAnsi="Verdana" w:cs="Verdana"/>
        </w:rPr>
        <w:t>Greater integration of the enrollment service areas of the college will be explored.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c)</w:t>
      </w:r>
      <w:r>
        <w:rPr>
          <w:rFonts w:ascii="Times New Roman" w:hAnsi="Times New Roman" w:cs="Times New Roman"/>
          <w:sz w:val="18"/>
          <w:szCs w:val="18"/>
        </w:rPr>
        <w:t xml:space="preserve">      </w:t>
      </w:r>
      <w:r>
        <w:rPr>
          <w:rFonts w:ascii="Verdana" w:hAnsi="Verdana" w:cs="Verdana"/>
        </w:rPr>
        <w:t>New advisement initiatives will be implemented.</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w:t>
      </w:r>
      <w:r>
        <w:rPr>
          <w:rFonts w:ascii="Times New Roman" w:hAnsi="Times New Roman" w:cs="Times New Roman"/>
          <w:sz w:val="18"/>
          <w:szCs w:val="18"/>
        </w:rPr>
        <w:t xml:space="preserve">     </w:t>
      </w:r>
      <w:r>
        <w:rPr>
          <w:rFonts w:ascii="Verdana" w:hAnsi="Verdana" w:cs="Verdana"/>
        </w:rPr>
        <w:t>The Foundations of Excellence program (FYE) will be integrated into the academic structure of the college.</w:t>
      </w:r>
    </w:p>
    <w:p w:rsidR="00EB4C05" w:rsidRDefault="00EB4C05" w:rsidP="00EB4C05">
      <w:pPr>
        <w:widowControl w:val="0"/>
        <w:autoSpaceDE w:val="0"/>
        <w:autoSpaceDN w:val="0"/>
        <w:adjustRightInd w:val="0"/>
        <w:spacing w:after="0" w:line="280" w:lineRule="atLeast"/>
        <w:rPr>
          <w:rFonts w:ascii="Verdana" w:hAnsi="Verdana" w:cs="Verdana"/>
          <w:b/>
          <w:bCs/>
        </w:rPr>
      </w:pPr>
    </w:p>
    <w:p w:rsidR="00EB4C05" w:rsidRDefault="00EB4C05" w:rsidP="00EB4C05">
      <w:pPr>
        <w:widowControl w:val="0"/>
        <w:autoSpaceDE w:val="0"/>
        <w:autoSpaceDN w:val="0"/>
        <w:adjustRightInd w:val="0"/>
        <w:spacing w:after="240" w:line="280" w:lineRule="atLeast"/>
        <w:rPr>
          <w:rFonts w:ascii="Verdana" w:hAnsi="Verdana" w:cs="Verdana"/>
        </w:rPr>
      </w:pP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References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 xml:space="preserve">Black, J. (2008). Enrollment management: a systems approach. [White paper]. Retrieved from </w:t>
      </w:r>
      <w:hyperlink r:id="rId4" w:history="1">
        <w:r>
          <w:rPr>
            <w:rFonts w:ascii="Verdana" w:hAnsi="Verdana" w:cs="Verdana"/>
          </w:rPr>
          <w:t>http://semworks.net</w:t>
        </w:r>
      </w:hyperlink>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 xml:space="preserve">Black, J. (2008). The Art and Science of Enrollment Planning. [White paper]. Retrieved from </w:t>
      </w:r>
      <w:hyperlink r:id="rId5" w:history="1">
        <w:r>
          <w:rPr>
            <w:rFonts w:ascii="Verdana" w:hAnsi="Verdana" w:cs="Verdana"/>
          </w:rPr>
          <w:t>http://www.semworks.net</w:t>
        </w:r>
      </w:hyperlink>
      <w:r>
        <w:rPr>
          <w:rFonts w:ascii="Verdana" w:hAnsi="Verdana" w:cs="Verdana"/>
        </w:rPr>
        <w:t>  </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 xml:space="preserve">Black, J. (2008). Ten things every college president should know about enrollment management.  [White paper]. Retrieved from </w:t>
      </w:r>
      <w:hyperlink r:id="rId6" w:history="1">
        <w:r>
          <w:rPr>
            <w:rFonts w:ascii="Verdana" w:hAnsi="Verdana" w:cs="Verdana"/>
          </w:rPr>
          <w:t>http://www.semworks.net</w:t>
        </w:r>
      </w:hyperlink>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Bontrager, B. (2004). Strategic enrollment management: Core strategies and best practices. College and University, 79 (4), 9.</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Bontrager, B. (2007). The brave new world of strategic enrollment management. College &amp; University, 82 (2), 3–6.</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Dolence, M. G. (1997). Strategic enrollment management: The evolving SEM concept. In R. M. Swanson &amp; F. A. Weese (Eds.), Becoming a leader in enrollment services. Washington, DC: American Association of Collegiate Registrars and Admissions Officers.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Hopkins, K (2009). Six essentials and  six common mistakes in cabinet –level strategic enrollment planning. Retrieved from www.noellevitz.com</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Massa, R. (2001). Developing a SEM plan. In J. Black (Ed.), The strategic enrollment management revolution, pp. 149–171. Washington, DC: American Association of Collegiate Registrars and Admissions Officers.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National Center for Educational Statistics. (2008). Projections of education statistics to 2017. Retrieved from http://nces.ed.gov/programs/projections/projections2017/</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Retention/Completion Summary Tables. (2009). Retrieved from http://www.act.org/research/policymakers/pdf/09retain_trends.pdf</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 xml:space="preserve">Report on the impact of the economy on college enrollment - 2009.  (n.a.) Retrieved from </w:t>
      </w:r>
      <w:hyperlink r:id="rId7" w:history="1">
        <w:r>
          <w:rPr>
            <w:rFonts w:ascii="Verdana" w:hAnsi="Verdana" w:cs="Verdana"/>
          </w:rPr>
          <w:t>www.longmire-co.com</w:t>
        </w:r>
      </w:hyperlink>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Rowley, D. J., &amp; Sherman, H. (2001). From strategy to change Implementing the plan in higher education. The Jossey-Bass higher and adult education series. San Francisco: Jossey-Bass.</w:t>
      </w:r>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 xml:space="preserve">Wallace-Hulecki, L. (2009). Reframing strategic enrollment management from the academic lens: theory in practice (part 2). [White paper]. Retrieved from </w:t>
      </w:r>
      <w:hyperlink r:id="rId8" w:history="1">
        <w:r>
          <w:rPr>
            <w:rFonts w:ascii="Verdana" w:hAnsi="Verdana" w:cs="Verdana"/>
          </w:rPr>
          <w:t>http://www.semworks.net</w:t>
        </w:r>
      </w:hyperlink>
    </w:p>
    <w:p w:rsidR="00EB4C05" w:rsidRDefault="00EB4C05" w:rsidP="00EB4C05">
      <w:pPr>
        <w:widowControl w:val="0"/>
        <w:autoSpaceDE w:val="0"/>
        <w:autoSpaceDN w:val="0"/>
        <w:adjustRightInd w:val="0"/>
        <w:spacing w:after="240" w:line="280" w:lineRule="atLeast"/>
        <w:rPr>
          <w:rFonts w:ascii="Verdana" w:hAnsi="Verdana" w:cs="Verdana"/>
        </w:rPr>
      </w:pPr>
      <w:r>
        <w:rPr>
          <w:rFonts w:ascii="Verdana" w:hAnsi="Verdana" w:cs="Verdana"/>
        </w:rPr>
        <w:t>Ward, J. (2005). Enrollment Management: Key elements for building and implementing an enrolment plan.  College and university Journal, 80 (4), 7-10.</w:t>
      </w:r>
    </w:p>
    <w:p w:rsidR="00791D5B" w:rsidRDefault="00EB4C05" w:rsidP="00EB4C05">
      <w:r>
        <w:rPr>
          <w:rFonts w:ascii="Verdana" w:hAnsi="Verdana" w:cs="Verdana"/>
        </w:rPr>
        <w:t>Williams, T. (2003). Enrollment strategies to serve tomorrow's students. Priorities, (21).</w:t>
      </w:r>
    </w:p>
    <w:sectPr w:rsidR="00791D5B" w:rsidSect="00791D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B4C05"/>
    <w:rsid w:val="00EB4C05"/>
  </w:rsids>
  <m:mathPr>
    <m:mathFont m:val="25 Helvetica Ultra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6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mworks.net/" TargetMode="External"/><Relationship Id="rId5" Type="http://schemas.openxmlformats.org/officeDocument/2006/relationships/hyperlink" Target="http://www.semworks.net/" TargetMode="External"/><Relationship Id="rId6" Type="http://schemas.openxmlformats.org/officeDocument/2006/relationships/hyperlink" Target="http://www.semworks.net/" TargetMode="External"/><Relationship Id="rId7" Type="http://schemas.openxmlformats.org/officeDocument/2006/relationships/hyperlink" Target="http://www.longmire-co.com/" TargetMode="External"/><Relationship Id="rId8" Type="http://schemas.openxmlformats.org/officeDocument/2006/relationships/hyperlink" Target="http://www.semworks.net/"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1340</Words>
  <Characters>7642</Characters>
  <Application>Microsoft Word 12.0.0</Application>
  <DocSecurity>0</DocSecurity>
  <Lines>63</Lines>
  <Paragraphs>15</Paragraphs>
  <ScaleCrop>false</ScaleCrop>
  <Company>Oberlander Group</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Neff</dc:creator>
  <cp:keywords/>
  <cp:lastModifiedBy>JM Neff</cp:lastModifiedBy>
  <cp:revision>1</cp:revision>
  <dcterms:created xsi:type="dcterms:W3CDTF">2011-08-01T16:32:00Z</dcterms:created>
  <dcterms:modified xsi:type="dcterms:W3CDTF">2011-08-01T16:33:00Z</dcterms:modified>
</cp:coreProperties>
</file>